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5310505" cy="171577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413" l="17313" r="16900" t="34985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71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SCHEDA DI PROGETTO (indicare la denominazione del progetto) – a.s.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PROGETTAZIONE     [ ] D’ISTITUTO      [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DI PLESSO      [ ] DI CLASSE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 COINVOLTE: tutte </w:t>
      </w: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-108.0" w:type="dxa"/>
        <w:tblLayout w:type="fixed"/>
        <w:tblLook w:val="0000"/>
      </w:tblPr>
      <w:tblGrid>
        <w:gridCol w:w="2931"/>
        <w:gridCol w:w="6846"/>
        <w:tblGridChange w:id="0">
          <w:tblGrid>
            <w:gridCol w:w="2931"/>
            <w:gridCol w:w="684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Priorità RAV cui si riferisce*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Traguardo di risultato PdM (event.)*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Obiettivo di processo PdM (event.)*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Altre priorità (event.)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Competenza chiave europea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Tempistica/fasi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Situazione di partenza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Attività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75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Risorse finanziarie necessarie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Risorse umane interne (n°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Altre risorse necessarie esterne (n° ore e costo totale)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Elenco dettagliato del materiale da acquistare (con codice prodotto, nome fornitore e costo)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Risultati attesi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Firma referente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tbl>
      <w:tblPr>
        <w:tblStyle w:val="Table2"/>
        <w:tblW w:w="101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126"/>
        <w:gridCol w:w="5522"/>
        <w:tblGridChange w:id="0">
          <w:tblGrid>
            <w:gridCol w:w="2518"/>
            <w:gridCol w:w="2126"/>
            <w:gridCol w:w="55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PRIORITÀ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TRAGUARDI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OBIETTIVI DI PROCESSO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1)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Elevare il livello medio di conoscenze, abilità e competenze in particolare in italiano, matematica, lingue straniere e ambito digitale, anche attraverso il miglioramento dei risultati delle prove nazionali INVALSI.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2)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Formazione dell’individuo, delle cittadine e dei cittadini.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Migliorare i risultati nelle discipline sopraelencate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*a)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Incrementare l'acquisizione di competenze personali legate alla conoscenza e accettazione di sé e alla capacità di agire efficacemente nelle diverse situazioni.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b)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Migliorare le competenze relazionali, sociali e civiche.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Implementare l’introduzione di metodologie attive e student centered che favoriscano un apprendimento significativo.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Consentire un utilizzo più efficace delle tecnologie nella didattica migliorando l’infrastruttura e le dotazioni tecnologiche complessive dell’Istituto, in termini di qualità e quantità.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Implementare percorsi che favoriscano lo sviluppo dello spirito critico e dela creatività individuale e di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Creare un clima e un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setting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favorevole all’apprendimento, alla motivazione e all’inclusione basato sulla fiducia, sul rispetto, sulle capacità comunicative e relazionali e sull’ascolto attivo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Sviluppare le competenze sociali e civiche, attraverso percorsi di responsabilità partecipata ed inclusiva, per favorire i processi di inclusione e crescita del senso civico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Favorire la creazione di gruppi di lavoro i cui obiettivi siano la ricerca, la condivisione di idee e la produzione di strumenti di lavoro adeguati, e che promuovano, attraverso i referenti, attività legate allo sviluppo delle competenze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 Narrow" w:eastAsia="SimSun" w:hAnsi="Arial Narro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 Narrow" w:cs="Times New Roman" w:eastAsia="SimSun" w:hAnsi="Arial Narro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="103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2k0kjRHZnCzzvrwaX7fdV28SGA==">CgMxLjA4AHIhMTlRbEdESkNMbVR5YWMwS1dtbzB1cVFzOGUxUGRqamts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2023-06-02T20:00:00Z</dcterms:created>
  <dc:creator>Roberta 2</dc:creator>
</cp:coreProperties>
</file>